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C40D7" w14:textId="77777777" w:rsidR="0071798D" w:rsidRDefault="0071798D" w:rsidP="0071798D">
      <w:pPr>
        <w:rPr>
          <w:rFonts w:ascii="Times New Roman" w:hAnsi="Times New Roman" w:cs="Times New Roman"/>
          <w:b/>
          <w:bCs/>
          <w:sz w:val="20"/>
          <w:szCs w:val="20"/>
        </w:rPr>
      </w:pPr>
      <w:r>
        <w:rPr>
          <w:rFonts w:ascii="Times New Roman" w:hAnsi="Times New Roman" w:cs="Times New Roman"/>
          <w:b/>
          <w:bCs/>
          <w:sz w:val="20"/>
          <w:szCs w:val="20"/>
        </w:rPr>
        <w:t>Annex II</w:t>
      </w:r>
    </w:p>
    <w:p w14:paraId="28986D10" w14:textId="6D0B8118" w:rsidR="00F43890" w:rsidRPr="00D6358E" w:rsidRDefault="00F43890" w:rsidP="00F43890">
      <w:pPr>
        <w:rPr>
          <w:rFonts w:ascii="Times New Roman" w:hAnsi="Times New Roman" w:cs="Times New Roman"/>
          <w:b/>
          <w:bCs/>
          <w:sz w:val="20"/>
          <w:szCs w:val="20"/>
        </w:rPr>
      </w:pPr>
      <w:r w:rsidRPr="00D6358E">
        <w:rPr>
          <w:rFonts w:ascii="Times New Roman" w:hAnsi="Times New Roman" w:cs="Times New Roman"/>
          <w:b/>
          <w:bCs/>
          <w:sz w:val="20"/>
          <w:szCs w:val="20"/>
        </w:rPr>
        <w:t>S.19.01</w:t>
      </w:r>
      <w:r w:rsidR="00463D7C">
        <w:rPr>
          <w:rFonts w:ascii="Times New Roman" w:hAnsi="Times New Roman" w:cs="Times New Roman"/>
          <w:b/>
          <w:bCs/>
          <w:sz w:val="20"/>
          <w:szCs w:val="20"/>
        </w:rPr>
        <w:t>.</w:t>
      </w:r>
      <w:r w:rsidRPr="00D6358E">
        <w:rPr>
          <w:rFonts w:ascii="Times New Roman" w:hAnsi="Times New Roman" w:cs="Times New Roman"/>
          <w:b/>
          <w:bCs/>
          <w:sz w:val="20"/>
          <w:szCs w:val="20"/>
        </w:rPr>
        <w:t xml:space="preserve"> - Non-life Insurance Claims Information</w:t>
      </w:r>
    </w:p>
    <w:p w14:paraId="7A9CBBBA" w14:textId="147F19D0" w:rsidR="00CD7A58" w:rsidRPr="00811D00" w:rsidRDefault="00CD7A58" w:rsidP="00E65F89">
      <w:pPr>
        <w:jc w:val="both"/>
        <w:rPr>
          <w:rFonts w:ascii="Times New Roman" w:hAnsi="Times New Roman" w:cs="Times New Roman"/>
          <w:sz w:val="20"/>
          <w:szCs w:val="20"/>
        </w:rPr>
      </w:pPr>
      <w:r w:rsidRPr="00D6358E">
        <w:rPr>
          <w:rFonts w:ascii="Times New Roman" w:hAnsi="Times New Roman" w:cs="Times New Roman"/>
          <w:sz w:val="20"/>
          <w:szCs w:val="20"/>
        </w:rPr>
        <w:t xml:space="preserve">This Annex contains additional instructions in relation to the templates included in Annex I of this Regulation. The first column of the next table identifies the items to be </w:t>
      </w:r>
      <w:r w:rsidR="00782821">
        <w:rPr>
          <w:rFonts w:ascii="Times New Roman" w:hAnsi="Times New Roman" w:cs="Times New Roman"/>
          <w:sz w:val="20"/>
          <w:szCs w:val="20"/>
        </w:rPr>
        <w:t>disclosed</w:t>
      </w:r>
      <w:r w:rsidR="00782821" w:rsidRPr="00D6358E">
        <w:rPr>
          <w:rFonts w:ascii="Times New Roman" w:hAnsi="Times New Roman" w:cs="Times New Roman"/>
          <w:sz w:val="20"/>
          <w:szCs w:val="20"/>
        </w:rPr>
        <w:t xml:space="preserve"> </w:t>
      </w:r>
      <w:r w:rsidRPr="00D6358E">
        <w:rPr>
          <w:rFonts w:ascii="Times New Roman" w:hAnsi="Times New Roman" w:cs="Times New Roman"/>
          <w:sz w:val="20"/>
          <w:szCs w:val="20"/>
        </w:rPr>
        <w:t xml:space="preserve">by identifying the columns and lines as showed in the template </w:t>
      </w:r>
      <w:r w:rsidRPr="00811D00">
        <w:rPr>
          <w:rFonts w:ascii="Times New Roman" w:hAnsi="Times New Roman" w:cs="Times New Roman"/>
          <w:sz w:val="20"/>
          <w:szCs w:val="20"/>
        </w:rPr>
        <w:t>in Annex I.</w:t>
      </w:r>
    </w:p>
    <w:p w14:paraId="548BE490" w14:textId="77777777" w:rsidR="000E211E" w:rsidRPr="000E211E" w:rsidRDefault="000E211E" w:rsidP="000E211E">
      <w:pPr>
        <w:jc w:val="both"/>
        <w:rPr>
          <w:rFonts w:ascii="Times New Roman" w:hAnsi="Times New Roman" w:cs="Times New Roman"/>
          <w:bCs/>
          <w:sz w:val="20"/>
          <w:szCs w:val="20"/>
        </w:rPr>
      </w:pPr>
      <w:r w:rsidRPr="000E211E">
        <w:rPr>
          <w:rFonts w:ascii="Times New Roman" w:hAnsi="Times New Roman" w:cs="Times New Roman"/>
          <w:bCs/>
          <w:sz w:val="20"/>
          <w:szCs w:val="20"/>
        </w:rPr>
        <w:t xml:space="preserve">This annex relates to annual disclosure of information for individual entities. </w:t>
      </w:r>
    </w:p>
    <w:p w14:paraId="085B4934" w14:textId="6B0DFB01" w:rsidR="00903207" w:rsidRPr="00D6358E" w:rsidRDefault="00903207" w:rsidP="00D6358E">
      <w:pPr>
        <w:jc w:val="both"/>
        <w:rPr>
          <w:rFonts w:ascii="Times New Roman" w:hAnsi="Times New Roman" w:cs="Times New Roman"/>
          <w:b/>
          <w:bCs/>
          <w:sz w:val="20"/>
          <w:szCs w:val="20"/>
        </w:rPr>
      </w:pPr>
      <w:r w:rsidRPr="00811D00">
        <w:rPr>
          <w:rFonts w:ascii="Times New Roman" w:hAnsi="Times New Roman" w:cs="Times New Roman"/>
          <w:bCs/>
          <w:sz w:val="20"/>
          <w:szCs w:val="20"/>
        </w:rPr>
        <w:t>Claims development triangles</w:t>
      </w:r>
      <w:r w:rsidRPr="00811D00">
        <w:rPr>
          <w:rFonts w:ascii="Times New Roman" w:hAnsi="Times New Roman" w:cs="Times New Roman"/>
          <w:sz w:val="20"/>
          <w:szCs w:val="20"/>
        </w:rPr>
        <w:t xml:space="preserve"> </w:t>
      </w:r>
      <w:r w:rsidRPr="00D6358E">
        <w:rPr>
          <w:rFonts w:ascii="Times New Roman" w:hAnsi="Times New Roman" w:cs="Times New Roman"/>
          <w:sz w:val="20"/>
          <w:szCs w:val="20"/>
        </w:rPr>
        <w:t>show the insurer’s estimate of the cost of claims (claims paid and claims provisions under Solvency II valuation principle) and how this estimate develops over time.</w:t>
      </w:r>
    </w:p>
    <w:p w14:paraId="15B12DBA" w14:textId="0D27FBEB" w:rsidR="003111A6" w:rsidRPr="00B21800" w:rsidRDefault="003111A6" w:rsidP="003111A6">
      <w:pPr>
        <w:jc w:val="both"/>
        <w:rPr>
          <w:rFonts w:ascii="Times New Roman" w:hAnsi="Times New Roman" w:cs="Times New Roman"/>
          <w:sz w:val="20"/>
          <w:szCs w:val="20"/>
        </w:rPr>
      </w:pPr>
      <w:r w:rsidRPr="002E0125">
        <w:rPr>
          <w:rFonts w:ascii="Times New Roman" w:hAnsi="Times New Roman" w:cs="Times New Roman"/>
          <w:sz w:val="20"/>
          <w:szCs w:val="20"/>
        </w:rPr>
        <w:t xml:space="preserve">Undertakings are required to </w:t>
      </w:r>
      <w:r>
        <w:rPr>
          <w:rFonts w:ascii="Times New Roman" w:hAnsi="Times New Roman" w:cs="Times New Roman"/>
          <w:sz w:val="20"/>
          <w:szCs w:val="20"/>
        </w:rPr>
        <w:t>disclose</w:t>
      </w:r>
      <w:r w:rsidRPr="002E0125">
        <w:rPr>
          <w:rFonts w:ascii="Times New Roman" w:hAnsi="Times New Roman" w:cs="Times New Roman"/>
          <w:sz w:val="20"/>
          <w:szCs w:val="20"/>
        </w:rPr>
        <w:t xml:space="preserve">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provided that they use the same year consistently, year on year.</w:t>
      </w:r>
      <w:r w:rsidRPr="00B21800">
        <w:rPr>
          <w:rFonts w:ascii="Times New Roman" w:hAnsi="Times New Roman" w:cs="Times New Roman"/>
          <w:sz w:val="20"/>
          <w:szCs w:val="20"/>
        </w:rPr>
        <w:t xml:space="preserve"> </w:t>
      </w:r>
    </w:p>
    <w:p w14:paraId="50E9FA40" w14:textId="77777777" w:rsidR="00CC00BE" w:rsidRPr="00D6358E" w:rsidRDefault="00CC00BE" w:rsidP="00CC00BE">
      <w:pPr>
        <w:jc w:val="both"/>
        <w:rPr>
          <w:rFonts w:ascii="Times New Roman" w:hAnsi="Times New Roman" w:cs="Times New Roman"/>
          <w:sz w:val="20"/>
          <w:szCs w:val="20"/>
        </w:rPr>
      </w:pPr>
      <w:r w:rsidRPr="00D6358E">
        <w:rPr>
          <w:rFonts w:ascii="Times New Roman" w:hAnsi="Times New Roman" w:cs="Times New Roman"/>
          <w:sz w:val="20"/>
          <w:szCs w:val="20"/>
        </w:rPr>
        <w:t xml:space="preserve">This template </w:t>
      </w:r>
      <w:r>
        <w:rPr>
          <w:rFonts w:ascii="Times New Roman" w:hAnsi="Times New Roman" w:cs="Times New Roman"/>
          <w:sz w:val="20"/>
          <w:szCs w:val="20"/>
        </w:rPr>
        <w:t>shall</w:t>
      </w:r>
      <w:r w:rsidRPr="00D6358E">
        <w:rPr>
          <w:rFonts w:ascii="Times New Roman" w:hAnsi="Times New Roman" w:cs="Times New Roman"/>
          <w:sz w:val="20"/>
          <w:szCs w:val="20"/>
        </w:rPr>
        <w:t xml:space="preserve"> be </w:t>
      </w:r>
      <w:r>
        <w:rPr>
          <w:rFonts w:ascii="Times New Roman" w:hAnsi="Times New Roman" w:cs="Times New Roman"/>
          <w:sz w:val="20"/>
          <w:szCs w:val="20"/>
        </w:rPr>
        <w:t>disclosed</w:t>
      </w:r>
      <w:r w:rsidRPr="00D6358E">
        <w:rPr>
          <w:rFonts w:ascii="Times New Roman" w:hAnsi="Times New Roman" w:cs="Times New Roman"/>
          <w:sz w:val="20"/>
          <w:szCs w:val="20"/>
        </w:rPr>
        <w:t xml:space="preserve"> for </w:t>
      </w:r>
      <w:r w:rsidRPr="00523AD3">
        <w:rPr>
          <w:rFonts w:ascii="Times New Roman" w:hAnsi="Times New Roman" w:cs="Times New Roman"/>
          <w:sz w:val="20"/>
          <w:szCs w:val="20"/>
        </w:rPr>
        <w:t>the total for non-life business</w:t>
      </w:r>
      <w:r>
        <w:rPr>
          <w:rFonts w:ascii="Times New Roman" w:hAnsi="Times New Roman" w:cs="Times New Roman"/>
          <w:sz w:val="20"/>
          <w:szCs w:val="20"/>
        </w:rPr>
        <w:t xml:space="preserve"> but split by underwriting year and accident year if different bases are used by the undertaking.</w:t>
      </w:r>
      <w:r w:rsidRPr="00D6358E">
        <w:rPr>
          <w:rFonts w:ascii="Times New Roman" w:hAnsi="Times New Roman" w:cs="Times New Roman"/>
          <w:sz w:val="20"/>
          <w:szCs w:val="20"/>
        </w:rPr>
        <w:t xml:space="preserve"> </w:t>
      </w:r>
    </w:p>
    <w:p w14:paraId="0474C8E9" w14:textId="67D2B877" w:rsidR="00903207" w:rsidRPr="00D6358E" w:rsidRDefault="00903207" w:rsidP="00D6358E">
      <w:pPr>
        <w:jc w:val="both"/>
        <w:rPr>
          <w:rFonts w:ascii="Times New Roman" w:hAnsi="Times New Roman" w:cs="Times New Roman"/>
          <w:sz w:val="20"/>
          <w:szCs w:val="20"/>
        </w:rPr>
      </w:pPr>
      <w:r w:rsidRPr="00D6358E">
        <w:rPr>
          <w:rFonts w:ascii="Times New Roman" w:hAnsi="Times New Roman" w:cs="Times New Roman"/>
          <w:sz w:val="20"/>
          <w:szCs w:val="20"/>
        </w:rPr>
        <w:t>The default length of run-off triangle is 1</w:t>
      </w:r>
      <w:r w:rsidR="00CC00BE">
        <w:rPr>
          <w:rFonts w:ascii="Times New Roman" w:hAnsi="Times New Roman" w:cs="Times New Roman"/>
          <w:sz w:val="20"/>
          <w:szCs w:val="20"/>
        </w:rPr>
        <w:t>0</w:t>
      </w:r>
      <w:r w:rsidRPr="00D6358E">
        <w:rPr>
          <w:rFonts w:ascii="Times New Roman" w:hAnsi="Times New Roman" w:cs="Times New Roman"/>
          <w:sz w:val="20"/>
          <w:szCs w:val="20"/>
        </w:rPr>
        <w:t xml:space="preserve">+1 years but the </w:t>
      </w:r>
      <w:r w:rsidR="00CC00BE">
        <w:rPr>
          <w:rFonts w:ascii="Times New Roman" w:hAnsi="Times New Roman" w:cs="Times New Roman"/>
          <w:sz w:val="20"/>
          <w:szCs w:val="20"/>
        </w:rPr>
        <w:t>disclosure</w:t>
      </w:r>
      <w:r w:rsidR="00CC00BE" w:rsidRPr="00D6358E">
        <w:rPr>
          <w:rFonts w:ascii="Times New Roman" w:hAnsi="Times New Roman" w:cs="Times New Roman"/>
          <w:sz w:val="20"/>
          <w:szCs w:val="20"/>
        </w:rPr>
        <w:t xml:space="preserve"> </w:t>
      </w:r>
      <w:r w:rsidRPr="00D6358E">
        <w:rPr>
          <w:rFonts w:ascii="Times New Roman" w:hAnsi="Times New Roman" w:cs="Times New Roman"/>
          <w:sz w:val="20"/>
          <w:szCs w:val="20"/>
        </w:rPr>
        <w:t>requirement is based on the undertakings’ claims development (if length of the claims settlement cycle is shorter than 1</w:t>
      </w:r>
      <w:r w:rsidR="00CC00BE">
        <w:rPr>
          <w:rFonts w:ascii="Times New Roman" w:hAnsi="Times New Roman" w:cs="Times New Roman"/>
          <w:sz w:val="20"/>
          <w:szCs w:val="20"/>
        </w:rPr>
        <w:t>0</w:t>
      </w:r>
      <w:r w:rsidRPr="00D6358E">
        <w:rPr>
          <w:rFonts w:ascii="Times New Roman" w:hAnsi="Times New Roman" w:cs="Times New Roman"/>
          <w:sz w:val="20"/>
          <w:szCs w:val="20"/>
        </w:rPr>
        <w:t xml:space="preserve"> years, undertakings are required to </w:t>
      </w:r>
      <w:r w:rsidR="00CC00BE">
        <w:rPr>
          <w:rFonts w:ascii="Times New Roman" w:hAnsi="Times New Roman" w:cs="Times New Roman"/>
          <w:sz w:val="20"/>
          <w:szCs w:val="20"/>
        </w:rPr>
        <w:t>disclose</w:t>
      </w:r>
      <w:r w:rsidR="00CC00BE" w:rsidRPr="00D6358E">
        <w:rPr>
          <w:rFonts w:ascii="Times New Roman" w:hAnsi="Times New Roman" w:cs="Times New Roman"/>
          <w:sz w:val="20"/>
          <w:szCs w:val="20"/>
        </w:rPr>
        <w:t xml:space="preserve"> </w:t>
      </w:r>
      <w:r w:rsidRPr="00D6358E">
        <w:rPr>
          <w:rFonts w:ascii="Times New Roman" w:hAnsi="Times New Roman" w:cs="Times New Roman"/>
          <w:sz w:val="20"/>
          <w:szCs w:val="20"/>
        </w:rPr>
        <w:t>according to the internal shorter development).</w:t>
      </w:r>
    </w:p>
    <w:p w14:paraId="0F4C3D22" w14:textId="3A58A7FD" w:rsidR="00903207" w:rsidRPr="002E0125" w:rsidRDefault="00903207" w:rsidP="00D6358E">
      <w:pPr>
        <w:jc w:val="both"/>
        <w:rPr>
          <w:rFonts w:ascii="Times New Roman" w:hAnsi="Times New Roman" w:cs="Times New Roman"/>
          <w:sz w:val="20"/>
          <w:szCs w:val="20"/>
        </w:rPr>
      </w:pPr>
      <w:r w:rsidRPr="00D6358E">
        <w:rPr>
          <w:rFonts w:ascii="Times New Roman" w:hAnsi="Times New Roman" w:cs="Times New Roman"/>
          <w:sz w:val="20"/>
          <w:szCs w:val="20"/>
        </w:rPr>
        <w:t xml:space="preserve">Historical data, starting from the first time </w:t>
      </w:r>
      <w:r w:rsidRPr="003111A6">
        <w:rPr>
          <w:rFonts w:ascii="Times New Roman" w:hAnsi="Times New Roman" w:cs="Times New Roman"/>
          <w:sz w:val="20"/>
          <w:szCs w:val="20"/>
        </w:rPr>
        <w:t xml:space="preserve">application of Solvency II, are required for claims paid (i.e. the complete set </w:t>
      </w:r>
      <w:r w:rsidR="00CC00BE" w:rsidRPr="002E0125">
        <w:rPr>
          <w:rFonts w:ascii="Times New Roman" w:hAnsi="Times New Roman" w:cs="Times New Roman"/>
          <w:sz w:val="20"/>
          <w:szCs w:val="20"/>
        </w:rPr>
        <w:t xml:space="preserve">shall </w:t>
      </w:r>
      <w:r w:rsidRPr="002E0125">
        <w:rPr>
          <w:rFonts w:ascii="Times New Roman" w:hAnsi="Times New Roman" w:cs="Times New Roman"/>
          <w:sz w:val="20"/>
          <w:szCs w:val="20"/>
        </w:rPr>
        <w:t xml:space="preserve">be </w:t>
      </w:r>
      <w:r w:rsidR="00CC00BE" w:rsidRPr="002E0125">
        <w:rPr>
          <w:rFonts w:ascii="Times New Roman" w:hAnsi="Times New Roman" w:cs="Times New Roman"/>
          <w:sz w:val="20"/>
          <w:szCs w:val="20"/>
        </w:rPr>
        <w:t>disclosed</w:t>
      </w:r>
      <w:r w:rsidRPr="002E0125">
        <w:rPr>
          <w:rFonts w:ascii="Times New Roman" w:hAnsi="Times New Roman" w:cs="Times New Roman"/>
          <w:sz w:val="20"/>
          <w:szCs w:val="20"/>
        </w:rPr>
        <w:t xml:space="preserve">,) but not for Best Estimate of Claims Provision. For the compilation of the historical data for claims paid the same approach concerning the length of triangle for the on-going </w:t>
      </w:r>
      <w:r w:rsidR="00CC00BE" w:rsidRPr="002E0125">
        <w:rPr>
          <w:rFonts w:ascii="Times New Roman" w:hAnsi="Times New Roman" w:cs="Times New Roman"/>
          <w:sz w:val="20"/>
          <w:szCs w:val="20"/>
        </w:rPr>
        <w:t xml:space="preserve">disclosure </w:t>
      </w:r>
      <w:r w:rsidRPr="002E0125">
        <w:rPr>
          <w:rFonts w:ascii="Times New Roman" w:hAnsi="Times New Roman" w:cs="Times New Roman"/>
          <w:sz w:val="20"/>
          <w:szCs w:val="20"/>
        </w:rPr>
        <w:t>will be applied (i.e. the shorter between 1</w:t>
      </w:r>
      <w:r w:rsidR="00CC00BE" w:rsidRPr="002E0125">
        <w:rPr>
          <w:rFonts w:ascii="Times New Roman" w:hAnsi="Times New Roman" w:cs="Times New Roman"/>
          <w:sz w:val="20"/>
          <w:szCs w:val="20"/>
        </w:rPr>
        <w:t>0</w:t>
      </w:r>
      <w:r w:rsidRPr="002E0125">
        <w:rPr>
          <w:rFonts w:ascii="Times New Roman" w:hAnsi="Times New Roman" w:cs="Times New Roman"/>
          <w:sz w:val="20"/>
          <w:szCs w:val="20"/>
        </w:rPr>
        <w:t>+1 years and the undertakings’ claims settlement cycle).</w:t>
      </w:r>
    </w:p>
    <w:tbl>
      <w:tblPr>
        <w:tblStyle w:val="TableGrid"/>
        <w:tblW w:w="0" w:type="auto"/>
        <w:tblLook w:val="04A0" w:firstRow="1" w:lastRow="0" w:firstColumn="1" w:lastColumn="0" w:noHBand="0" w:noVBand="1"/>
      </w:tblPr>
      <w:tblGrid>
        <w:gridCol w:w="1039"/>
        <w:gridCol w:w="2072"/>
        <w:gridCol w:w="6131"/>
      </w:tblGrid>
      <w:tr w:rsidR="003E35F1" w:rsidRPr="00AB2CE4" w14:paraId="7E31DEC2" w14:textId="77777777" w:rsidTr="002E0125">
        <w:trPr>
          <w:trHeight w:val="315"/>
        </w:trPr>
        <w:tc>
          <w:tcPr>
            <w:tcW w:w="1039" w:type="dxa"/>
            <w:tcBorders>
              <w:top w:val="nil"/>
              <w:left w:val="nil"/>
              <w:bottom w:val="nil"/>
              <w:right w:val="nil"/>
            </w:tcBorders>
            <w:hideMark/>
          </w:tcPr>
          <w:p w14:paraId="123AD5C3" w14:textId="77777777" w:rsidR="003E35F1" w:rsidRPr="00D6358E" w:rsidRDefault="003E35F1" w:rsidP="003E35F1">
            <w:pPr>
              <w:rPr>
                <w:rFonts w:ascii="Times New Roman" w:hAnsi="Times New Roman" w:cs="Times New Roman"/>
                <w:b/>
                <w:bCs/>
                <w:sz w:val="20"/>
                <w:szCs w:val="20"/>
              </w:rPr>
            </w:pPr>
          </w:p>
        </w:tc>
        <w:tc>
          <w:tcPr>
            <w:tcW w:w="2072" w:type="dxa"/>
            <w:tcBorders>
              <w:top w:val="nil"/>
              <w:left w:val="nil"/>
              <w:bottom w:val="nil"/>
              <w:right w:val="nil"/>
            </w:tcBorders>
          </w:tcPr>
          <w:p w14:paraId="76276477" w14:textId="32FE70EB" w:rsidR="003E35F1" w:rsidRPr="00D6358E" w:rsidRDefault="003E35F1" w:rsidP="003E35F1">
            <w:pPr>
              <w:rPr>
                <w:rFonts w:ascii="Times New Roman" w:hAnsi="Times New Roman" w:cs="Times New Roman"/>
                <w:b/>
                <w:bCs/>
                <w:sz w:val="20"/>
                <w:szCs w:val="20"/>
              </w:rPr>
            </w:pPr>
          </w:p>
        </w:tc>
        <w:tc>
          <w:tcPr>
            <w:tcW w:w="6131" w:type="dxa"/>
            <w:tcBorders>
              <w:top w:val="nil"/>
              <w:left w:val="nil"/>
              <w:bottom w:val="nil"/>
              <w:right w:val="nil"/>
            </w:tcBorders>
          </w:tcPr>
          <w:p w14:paraId="60462622" w14:textId="663EC09C" w:rsidR="003E35F1" w:rsidRPr="00D6358E" w:rsidRDefault="003E35F1" w:rsidP="003E35F1">
            <w:pPr>
              <w:rPr>
                <w:rFonts w:ascii="Times New Roman" w:hAnsi="Times New Roman" w:cs="Times New Roman"/>
                <w:b/>
                <w:bCs/>
                <w:sz w:val="20"/>
                <w:szCs w:val="20"/>
              </w:rPr>
            </w:pPr>
          </w:p>
        </w:tc>
      </w:tr>
      <w:tr w:rsidR="0071798D" w:rsidRPr="00463D7C" w14:paraId="60188B83" w14:textId="77777777" w:rsidTr="00F2044D">
        <w:trPr>
          <w:trHeight w:val="469"/>
        </w:trPr>
        <w:tc>
          <w:tcPr>
            <w:tcW w:w="1039" w:type="dxa"/>
            <w:vAlign w:val="center"/>
          </w:tcPr>
          <w:p w14:paraId="70F0F4DB" w14:textId="77777777" w:rsidR="0071798D" w:rsidRPr="00463D7C" w:rsidRDefault="0071798D" w:rsidP="002E0125">
            <w:pPr>
              <w:jc w:val="center"/>
              <w:rPr>
                <w:rFonts w:ascii="Times New Roman" w:hAnsi="Times New Roman" w:cs="Times New Roman"/>
                <w:sz w:val="20"/>
                <w:szCs w:val="20"/>
              </w:rPr>
            </w:pPr>
            <w:bookmarkStart w:id="0" w:name="_GoBack"/>
          </w:p>
        </w:tc>
        <w:tc>
          <w:tcPr>
            <w:tcW w:w="2072" w:type="dxa"/>
            <w:vAlign w:val="center"/>
          </w:tcPr>
          <w:p w14:paraId="66EE5D68" w14:textId="67FFEA84" w:rsidR="0071798D" w:rsidRPr="00463D7C" w:rsidRDefault="0071798D" w:rsidP="002E0125">
            <w:pPr>
              <w:jc w:val="center"/>
              <w:rPr>
                <w:rFonts w:ascii="Times New Roman" w:hAnsi="Times New Roman" w:cs="Times New Roman"/>
                <w:sz w:val="20"/>
                <w:szCs w:val="20"/>
              </w:rPr>
            </w:pPr>
            <w:r w:rsidRPr="00D6358E">
              <w:rPr>
                <w:rFonts w:ascii="Times New Roman" w:hAnsi="Times New Roman" w:cs="Times New Roman"/>
                <w:b/>
                <w:bCs/>
                <w:sz w:val="20"/>
                <w:szCs w:val="20"/>
              </w:rPr>
              <w:t>ITEM</w:t>
            </w:r>
          </w:p>
        </w:tc>
        <w:tc>
          <w:tcPr>
            <w:tcW w:w="6131" w:type="dxa"/>
            <w:vAlign w:val="center"/>
          </w:tcPr>
          <w:p w14:paraId="6182558A" w14:textId="1C134FBB" w:rsidR="0071798D" w:rsidRDefault="0071798D" w:rsidP="002E0125">
            <w:pPr>
              <w:jc w:val="center"/>
              <w:rPr>
                <w:rFonts w:ascii="Times New Roman" w:hAnsi="Times New Roman" w:cs="Times New Roman"/>
                <w:sz w:val="20"/>
                <w:szCs w:val="20"/>
              </w:rPr>
            </w:pPr>
            <w:r w:rsidRPr="00D6358E">
              <w:rPr>
                <w:rFonts w:ascii="Times New Roman" w:hAnsi="Times New Roman" w:cs="Times New Roman"/>
                <w:b/>
                <w:bCs/>
                <w:sz w:val="20"/>
                <w:szCs w:val="20"/>
              </w:rPr>
              <w:t>INSTRUCTIONS</w:t>
            </w:r>
          </w:p>
        </w:tc>
      </w:tr>
      <w:bookmarkEnd w:id="0"/>
      <w:tr w:rsidR="0071798D" w:rsidRPr="00463D7C" w14:paraId="3B40F4E1" w14:textId="77777777" w:rsidTr="00D6358E">
        <w:trPr>
          <w:trHeight w:val="330"/>
        </w:trPr>
        <w:tc>
          <w:tcPr>
            <w:tcW w:w="1039" w:type="dxa"/>
          </w:tcPr>
          <w:p w14:paraId="42D55FD4" w14:textId="77777777" w:rsidR="0071798D" w:rsidRPr="00463D7C" w:rsidRDefault="0071798D" w:rsidP="00476014">
            <w:pPr>
              <w:rPr>
                <w:rFonts w:ascii="Times New Roman" w:hAnsi="Times New Roman" w:cs="Times New Roman"/>
                <w:sz w:val="20"/>
                <w:szCs w:val="20"/>
              </w:rPr>
            </w:pPr>
            <w:r w:rsidRPr="00463D7C">
              <w:rPr>
                <w:rFonts w:ascii="Times New Roman" w:hAnsi="Times New Roman" w:cs="Times New Roman"/>
                <w:sz w:val="20"/>
                <w:szCs w:val="20"/>
              </w:rPr>
              <w:t>Z0020</w:t>
            </w:r>
          </w:p>
          <w:p w14:paraId="0ECA2AB3" w14:textId="68F0ED09" w:rsidR="0071798D" w:rsidRPr="00D6358E" w:rsidRDefault="0071798D" w:rsidP="00476014">
            <w:pPr>
              <w:rPr>
                <w:rFonts w:ascii="Times New Roman" w:hAnsi="Times New Roman" w:cs="Times New Roman"/>
                <w:sz w:val="20"/>
                <w:szCs w:val="20"/>
              </w:rPr>
            </w:pPr>
          </w:p>
        </w:tc>
        <w:tc>
          <w:tcPr>
            <w:tcW w:w="2072" w:type="dxa"/>
          </w:tcPr>
          <w:p w14:paraId="7CD4D0F7" w14:textId="667E8167" w:rsidR="0071798D" w:rsidRPr="00D6358E" w:rsidRDefault="0071798D" w:rsidP="00476014">
            <w:pPr>
              <w:rPr>
                <w:rFonts w:ascii="Times New Roman" w:hAnsi="Times New Roman" w:cs="Times New Roman"/>
                <w:sz w:val="20"/>
                <w:szCs w:val="20"/>
              </w:rPr>
            </w:pPr>
            <w:r w:rsidRPr="00463D7C">
              <w:rPr>
                <w:rFonts w:ascii="Times New Roman" w:hAnsi="Times New Roman" w:cs="Times New Roman"/>
                <w:sz w:val="20"/>
                <w:szCs w:val="20"/>
              </w:rPr>
              <w:t>Accident year or Underwriting year</w:t>
            </w:r>
          </w:p>
        </w:tc>
        <w:tc>
          <w:tcPr>
            <w:tcW w:w="6131" w:type="dxa"/>
          </w:tcPr>
          <w:p w14:paraId="3C641D4C" w14:textId="312880D1" w:rsidR="0071798D" w:rsidRPr="00463D7C" w:rsidRDefault="0071798D" w:rsidP="00F14ECA">
            <w:pPr>
              <w:rPr>
                <w:rFonts w:ascii="Times New Roman" w:hAnsi="Times New Roman" w:cs="Times New Roman"/>
                <w:sz w:val="20"/>
                <w:szCs w:val="20"/>
              </w:rPr>
            </w:pPr>
            <w:r>
              <w:rPr>
                <w:rFonts w:ascii="Times New Roman" w:hAnsi="Times New Roman" w:cs="Times New Roman"/>
                <w:sz w:val="20"/>
                <w:szCs w:val="20"/>
              </w:rPr>
              <w:t>Disclose</w:t>
            </w:r>
            <w:r w:rsidRPr="00463D7C">
              <w:rPr>
                <w:rFonts w:ascii="Times New Roman" w:hAnsi="Times New Roman" w:cs="Times New Roman"/>
                <w:sz w:val="20"/>
                <w:szCs w:val="20"/>
              </w:rPr>
              <w:t xml:space="preserve"> the standard used by the undertakings for </w:t>
            </w:r>
            <w:r>
              <w:rPr>
                <w:rFonts w:ascii="Times New Roman" w:hAnsi="Times New Roman" w:cs="Times New Roman"/>
                <w:sz w:val="20"/>
                <w:szCs w:val="20"/>
              </w:rPr>
              <w:t>disclos</w:t>
            </w:r>
            <w:r w:rsidRPr="00463D7C">
              <w:rPr>
                <w:rFonts w:ascii="Times New Roman" w:hAnsi="Times New Roman" w:cs="Times New Roman"/>
                <w:sz w:val="20"/>
                <w:szCs w:val="20"/>
              </w:rPr>
              <w:t>ing of claims development. One of the options from the following closed list shall be used:</w:t>
            </w:r>
          </w:p>
          <w:p w14:paraId="67C4C4DF" w14:textId="77777777" w:rsidR="0071798D" w:rsidRPr="00463D7C" w:rsidRDefault="0071798D" w:rsidP="00F14ECA">
            <w:pPr>
              <w:rPr>
                <w:rFonts w:ascii="Times New Roman" w:hAnsi="Times New Roman" w:cs="Times New Roman"/>
                <w:sz w:val="20"/>
                <w:szCs w:val="20"/>
              </w:rPr>
            </w:pPr>
            <w:r w:rsidRPr="00463D7C">
              <w:rPr>
                <w:rFonts w:ascii="Times New Roman" w:hAnsi="Times New Roman" w:cs="Times New Roman"/>
                <w:sz w:val="20"/>
                <w:szCs w:val="20"/>
              </w:rPr>
              <w:t>1 – Accident year</w:t>
            </w:r>
          </w:p>
          <w:p w14:paraId="0B619FED" w14:textId="1E372C41" w:rsidR="0071798D" w:rsidRPr="00D6358E" w:rsidRDefault="0071798D" w:rsidP="00F14ECA">
            <w:pPr>
              <w:rPr>
                <w:rFonts w:ascii="Times New Roman" w:hAnsi="Times New Roman" w:cs="Times New Roman"/>
                <w:sz w:val="20"/>
                <w:szCs w:val="20"/>
              </w:rPr>
            </w:pPr>
            <w:r w:rsidRPr="00463D7C">
              <w:rPr>
                <w:rFonts w:ascii="Times New Roman" w:hAnsi="Times New Roman" w:cs="Times New Roman"/>
                <w:sz w:val="20"/>
                <w:szCs w:val="20"/>
              </w:rPr>
              <w:t>2 – Underwriting year</w:t>
            </w:r>
            <w:r w:rsidRPr="00463D7C" w:rsidDel="004E23A9">
              <w:rPr>
                <w:rFonts w:ascii="Times New Roman" w:hAnsi="Times New Roman" w:cs="Times New Roman"/>
                <w:sz w:val="20"/>
                <w:szCs w:val="20"/>
              </w:rPr>
              <w:t xml:space="preserve"> </w:t>
            </w:r>
          </w:p>
        </w:tc>
      </w:tr>
      <w:tr w:rsidR="0071798D" w:rsidRPr="00AB2CE4" w14:paraId="35D8E486" w14:textId="77777777" w:rsidTr="00D6358E">
        <w:trPr>
          <w:trHeight w:val="2205"/>
        </w:trPr>
        <w:tc>
          <w:tcPr>
            <w:tcW w:w="1039" w:type="dxa"/>
            <w:hideMark/>
          </w:tcPr>
          <w:p w14:paraId="593B36AA" w14:textId="066BDDB5" w:rsidR="0071798D" w:rsidRPr="00AB2CE4" w:rsidRDefault="0071798D" w:rsidP="00476014">
            <w:pPr>
              <w:rPr>
                <w:rFonts w:ascii="Times New Roman" w:hAnsi="Times New Roman" w:cs="Times New Roman"/>
                <w:sz w:val="20"/>
                <w:szCs w:val="20"/>
              </w:rPr>
            </w:pPr>
            <w:r w:rsidRPr="006B4CB9">
              <w:rPr>
                <w:rFonts w:ascii="Times New Roman" w:hAnsi="Times New Roman" w:cs="Times New Roman"/>
                <w:sz w:val="20"/>
                <w:szCs w:val="20"/>
              </w:rPr>
              <w:t xml:space="preserve">C0010 </w:t>
            </w:r>
            <w:r w:rsidRPr="00AB2CE4">
              <w:rPr>
                <w:rFonts w:ascii="Times New Roman" w:hAnsi="Times New Roman" w:cs="Times New Roman"/>
                <w:sz w:val="20"/>
                <w:szCs w:val="20"/>
              </w:rPr>
              <w:t>to C01</w:t>
            </w:r>
            <w:r>
              <w:rPr>
                <w:rFonts w:ascii="Times New Roman" w:hAnsi="Times New Roman" w:cs="Times New Roman"/>
                <w:sz w:val="20"/>
                <w:szCs w:val="20"/>
              </w:rPr>
              <w:t>1</w:t>
            </w:r>
            <w:r w:rsidRPr="00AB2CE4">
              <w:rPr>
                <w:rFonts w:ascii="Times New Roman" w:hAnsi="Times New Roman" w:cs="Times New Roman"/>
                <w:sz w:val="20"/>
                <w:szCs w:val="20"/>
              </w:rPr>
              <w:t>0/ R0100 to R0</w:t>
            </w:r>
            <w:r>
              <w:rPr>
                <w:rFonts w:ascii="Times New Roman" w:hAnsi="Times New Roman" w:cs="Times New Roman"/>
                <w:sz w:val="20"/>
                <w:szCs w:val="20"/>
              </w:rPr>
              <w:t>2</w:t>
            </w:r>
            <w:r w:rsidRPr="00AB2CE4">
              <w:rPr>
                <w:rFonts w:ascii="Times New Roman" w:hAnsi="Times New Roman" w:cs="Times New Roman"/>
                <w:sz w:val="20"/>
                <w:szCs w:val="20"/>
              </w:rPr>
              <w:t>50</w:t>
            </w:r>
          </w:p>
          <w:p w14:paraId="217E7BCF" w14:textId="1F4E5EF8" w:rsidR="0071798D" w:rsidRPr="00D6358E" w:rsidRDefault="0071798D" w:rsidP="00476014">
            <w:pPr>
              <w:rPr>
                <w:rFonts w:ascii="Times New Roman" w:hAnsi="Times New Roman" w:cs="Times New Roman"/>
                <w:sz w:val="20"/>
                <w:szCs w:val="20"/>
              </w:rPr>
            </w:pPr>
          </w:p>
        </w:tc>
        <w:tc>
          <w:tcPr>
            <w:tcW w:w="2072" w:type="dxa"/>
            <w:hideMark/>
          </w:tcPr>
          <w:p w14:paraId="0C6072C5" w14:textId="77777777" w:rsidR="0071798D" w:rsidRPr="00D6358E" w:rsidRDefault="0071798D" w:rsidP="00476014">
            <w:pPr>
              <w:rPr>
                <w:rFonts w:ascii="Times New Roman" w:hAnsi="Times New Roman" w:cs="Times New Roman"/>
                <w:sz w:val="20"/>
                <w:szCs w:val="20"/>
              </w:rPr>
            </w:pPr>
            <w:r w:rsidRPr="00D6358E">
              <w:rPr>
                <w:rFonts w:ascii="Times New Roman" w:hAnsi="Times New Roman" w:cs="Times New Roman"/>
                <w:sz w:val="20"/>
                <w:szCs w:val="20"/>
              </w:rPr>
              <w:t>Gross Claims Paid (non-cumulative) –Triangle</w:t>
            </w:r>
          </w:p>
        </w:tc>
        <w:tc>
          <w:tcPr>
            <w:tcW w:w="6131" w:type="dxa"/>
            <w:hideMark/>
          </w:tcPr>
          <w:p w14:paraId="3B04222A" w14:textId="77777777" w:rsidR="0071798D" w:rsidRDefault="0071798D" w:rsidP="00D6358E">
            <w:pPr>
              <w:rPr>
                <w:rFonts w:ascii="Times New Roman" w:hAnsi="Times New Roman" w:cs="Times New Roman"/>
                <w:sz w:val="20"/>
                <w:szCs w:val="20"/>
              </w:rPr>
            </w:pPr>
            <w:r w:rsidRPr="00D6358E">
              <w:rPr>
                <w:rFonts w:ascii="Times New Roman" w:hAnsi="Times New Roman" w:cs="Times New Roman"/>
                <w:sz w:val="20"/>
                <w:szCs w:val="20"/>
              </w:rPr>
              <w:t xml:space="preserve">The Gross Claims Paid, net of salvage and subrogation, </w:t>
            </w:r>
            <w:r>
              <w:rPr>
                <w:rFonts w:ascii="Times New Roman" w:hAnsi="Times New Roman" w:cs="Times New Roman"/>
                <w:sz w:val="20"/>
                <w:szCs w:val="20"/>
              </w:rPr>
              <w:t xml:space="preserve">excluding expenses, </w:t>
            </w:r>
            <w:r w:rsidRPr="00D6358E">
              <w:rPr>
                <w:rFonts w:ascii="Times New Roman" w:hAnsi="Times New Roman" w:cs="Times New Roman"/>
                <w:sz w:val="20"/>
                <w:szCs w:val="20"/>
              </w:rPr>
              <w:t>in a triangle showing the developments of the gross claims payment already made: for each of the accident/underwriting years from N-</w:t>
            </w:r>
            <w:r>
              <w:rPr>
                <w:rFonts w:ascii="Times New Roman" w:hAnsi="Times New Roman" w:cs="Times New Roman"/>
                <w:sz w:val="20"/>
                <w:szCs w:val="20"/>
              </w:rPr>
              <w:t>9</w:t>
            </w:r>
            <w:r w:rsidRPr="00D6358E">
              <w:rPr>
                <w:rFonts w:ascii="Times New Roman" w:hAnsi="Times New Roman" w:cs="Times New Roman"/>
                <w:sz w:val="20"/>
                <w:szCs w:val="20"/>
              </w:rPr>
              <w:t xml:space="preserve"> (and prior) and all previous reporting periods to – including - N (last reporting year) report the payments already made corresponding at each development year (which is the delay between the accident/underwriting date and the payment date).</w:t>
            </w:r>
            <w:r w:rsidRPr="00D6358E">
              <w:rPr>
                <w:rFonts w:ascii="Times New Roman" w:hAnsi="Times New Roman" w:cs="Times New Roman"/>
                <w:sz w:val="20"/>
                <w:szCs w:val="20"/>
              </w:rPr>
              <w:br/>
            </w:r>
          </w:p>
          <w:p w14:paraId="6B1F9661" w14:textId="289F70A3" w:rsidR="0071798D" w:rsidRPr="00D6358E" w:rsidRDefault="0071798D" w:rsidP="00D6358E">
            <w:pPr>
              <w:rPr>
                <w:rFonts w:ascii="Times New Roman" w:hAnsi="Times New Roman" w:cs="Times New Roman"/>
                <w:sz w:val="20"/>
                <w:szCs w:val="20"/>
              </w:rPr>
            </w:pPr>
            <w:r w:rsidRPr="00D6358E">
              <w:rPr>
                <w:rFonts w:ascii="Times New Roman" w:hAnsi="Times New Roman" w:cs="Times New Roman"/>
                <w:sz w:val="20"/>
                <w:szCs w:val="20"/>
              </w:rPr>
              <w:t>The data are in absolute amount, non-cumulative and undiscounted.</w:t>
            </w:r>
          </w:p>
        </w:tc>
      </w:tr>
      <w:tr w:rsidR="0071798D" w:rsidRPr="00AB2CE4" w14:paraId="19A61F35" w14:textId="77777777" w:rsidTr="00D6358E">
        <w:trPr>
          <w:trHeight w:val="930"/>
        </w:trPr>
        <w:tc>
          <w:tcPr>
            <w:tcW w:w="1039" w:type="dxa"/>
            <w:hideMark/>
          </w:tcPr>
          <w:p w14:paraId="7AB3E145" w14:textId="10700754" w:rsidR="0071798D" w:rsidRPr="00AB2CE4" w:rsidRDefault="0071798D" w:rsidP="00476014">
            <w:pPr>
              <w:rPr>
                <w:rFonts w:ascii="Times New Roman" w:hAnsi="Times New Roman" w:cs="Times New Roman"/>
                <w:sz w:val="20"/>
                <w:szCs w:val="20"/>
              </w:rPr>
            </w:pPr>
            <w:r w:rsidRPr="006B4CB9">
              <w:rPr>
                <w:rFonts w:ascii="Times New Roman" w:hAnsi="Times New Roman" w:cs="Times New Roman"/>
                <w:sz w:val="20"/>
                <w:szCs w:val="20"/>
              </w:rPr>
              <w:t>C0170/ R0100 to R02</w:t>
            </w:r>
            <w:r>
              <w:rPr>
                <w:rFonts w:ascii="Times New Roman" w:hAnsi="Times New Roman" w:cs="Times New Roman"/>
                <w:sz w:val="20"/>
                <w:szCs w:val="20"/>
              </w:rPr>
              <w:t>6</w:t>
            </w:r>
            <w:r w:rsidRPr="006B4CB9">
              <w:rPr>
                <w:rFonts w:ascii="Times New Roman" w:hAnsi="Times New Roman" w:cs="Times New Roman"/>
                <w:sz w:val="20"/>
                <w:szCs w:val="20"/>
              </w:rPr>
              <w:t>0</w:t>
            </w:r>
          </w:p>
          <w:p w14:paraId="5CC3C810" w14:textId="685B60D8" w:rsidR="0071798D" w:rsidRPr="00D6358E" w:rsidRDefault="0071798D" w:rsidP="00476014">
            <w:pPr>
              <w:rPr>
                <w:rFonts w:ascii="Times New Roman" w:hAnsi="Times New Roman" w:cs="Times New Roman"/>
                <w:sz w:val="20"/>
                <w:szCs w:val="20"/>
              </w:rPr>
            </w:pPr>
          </w:p>
        </w:tc>
        <w:tc>
          <w:tcPr>
            <w:tcW w:w="2072" w:type="dxa"/>
            <w:hideMark/>
          </w:tcPr>
          <w:p w14:paraId="5DDEF06B" w14:textId="77777777" w:rsidR="0071798D" w:rsidRPr="00D6358E" w:rsidRDefault="0071798D" w:rsidP="00476014">
            <w:pPr>
              <w:rPr>
                <w:rFonts w:ascii="Times New Roman" w:hAnsi="Times New Roman" w:cs="Times New Roman"/>
                <w:sz w:val="20"/>
                <w:szCs w:val="20"/>
              </w:rPr>
            </w:pPr>
            <w:r w:rsidRPr="00D6358E">
              <w:rPr>
                <w:rFonts w:ascii="Times New Roman" w:hAnsi="Times New Roman" w:cs="Times New Roman"/>
                <w:sz w:val="20"/>
                <w:szCs w:val="20"/>
              </w:rPr>
              <w:t>Gross Claims Paid (non-cumulative) – In current year</w:t>
            </w:r>
          </w:p>
        </w:tc>
        <w:tc>
          <w:tcPr>
            <w:tcW w:w="6131" w:type="dxa"/>
            <w:hideMark/>
          </w:tcPr>
          <w:p w14:paraId="540F8367" w14:textId="0978B009" w:rsidR="002E1B2B" w:rsidRDefault="0071798D" w:rsidP="002E1B2B">
            <w:pPr>
              <w:spacing w:after="200" w:line="276" w:lineRule="auto"/>
              <w:rPr>
                <w:rFonts w:ascii="Times New Roman" w:hAnsi="Times New Roman" w:cs="Times New Roman"/>
                <w:sz w:val="20"/>
                <w:szCs w:val="20"/>
              </w:rPr>
            </w:pPr>
            <w:r w:rsidRPr="00D6358E">
              <w:rPr>
                <w:rFonts w:ascii="Times New Roman" w:hAnsi="Times New Roman" w:cs="Times New Roman"/>
                <w:sz w:val="20"/>
                <w:szCs w:val="20"/>
              </w:rPr>
              <w:t xml:space="preserve">Total “Current year” </w:t>
            </w:r>
            <w:r w:rsidR="002E1B2B">
              <w:rPr>
                <w:rFonts w:ascii="Times New Roman" w:hAnsi="Times New Roman" w:cs="Times New Roman"/>
                <w:sz w:val="20"/>
                <w:szCs w:val="20"/>
              </w:rPr>
              <w:t>reflects</w:t>
            </w:r>
            <w:r w:rsidRPr="00D6358E">
              <w:rPr>
                <w:rFonts w:ascii="Times New Roman" w:hAnsi="Times New Roman" w:cs="Times New Roman"/>
                <w:sz w:val="20"/>
                <w:szCs w:val="20"/>
              </w:rPr>
              <w:t xml:space="preserve"> the last diagonal (all data referred to last reporting year</w:t>
            </w:r>
            <w:r w:rsidR="002E1B2B">
              <w:rPr>
                <w:rFonts w:ascii="Times New Roman" w:hAnsi="Times New Roman" w:cs="Times New Roman"/>
                <w:sz w:val="20"/>
                <w:szCs w:val="20"/>
              </w:rPr>
              <w:t xml:space="preserve"> from R0160 to R0250. </w:t>
            </w:r>
          </w:p>
          <w:p w14:paraId="4CBA1435" w14:textId="3557C549" w:rsidR="0071798D" w:rsidRPr="00D6358E" w:rsidRDefault="002E1B2B" w:rsidP="002E1B2B">
            <w:pPr>
              <w:rPr>
                <w:rFonts w:ascii="Times New Roman" w:hAnsi="Times New Roman" w:cs="Times New Roman"/>
                <w:sz w:val="20"/>
                <w:szCs w:val="20"/>
              </w:rPr>
            </w:pPr>
            <w:r>
              <w:rPr>
                <w:rFonts w:ascii="Times New Roman" w:hAnsi="Times New Roman" w:cs="Times New Roman"/>
                <w:sz w:val="20"/>
                <w:szCs w:val="20"/>
              </w:rPr>
              <w:t>R0260 is the total of R0160 to R0250</w:t>
            </w:r>
          </w:p>
        </w:tc>
      </w:tr>
      <w:tr w:rsidR="0071798D" w:rsidRPr="00AB2CE4" w14:paraId="210E29A1" w14:textId="77777777" w:rsidTr="00D6358E">
        <w:trPr>
          <w:trHeight w:val="930"/>
        </w:trPr>
        <w:tc>
          <w:tcPr>
            <w:tcW w:w="1039" w:type="dxa"/>
            <w:hideMark/>
          </w:tcPr>
          <w:p w14:paraId="7A2987CE" w14:textId="386889DF" w:rsidR="0071798D" w:rsidRPr="00AB2CE4" w:rsidRDefault="0071798D" w:rsidP="00476014">
            <w:pPr>
              <w:rPr>
                <w:rFonts w:ascii="Times New Roman" w:hAnsi="Times New Roman" w:cs="Times New Roman"/>
                <w:sz w:val="20"/>
                <w:szCs w:val="20"/>
              </w:rPr>
            </w:pPr>
            <w:r w:rsidRPr="006B4CB9">
              <w:rPr>
                <w:rFonts w:ascii="Times New Roman" w:hAnsi="Times New Roman" w:cs="Times New Roman"/>
                <w:sz w:val="20"/>
                <w:szCs w:val="20"/>
              </w:rPr>
              <w:t xml:space="preserve">C0180/ R0100 to </w:t>
            </w:r>
            <w:r w:rsidR="002E0125">
              <w:rPr>
                <w:rFonts w:ascii="Times New Roman" w:hAnsi="Times New Roman" w:cs="Times New Roman"/>
                <w:sz w:val="20"/>
                <w:szCs w:val="20"/>
              </w:rPr>
              <w:t>R</w:t>
            </w:r>
            <w:r w:rsidRPr="006B4CB9">
              <w:rPr>
                <w:rFonts w:ascii="Times New Roman" w:hAnsi="Times New Roman" w:cs="Times New Roman"/>
                <w:sz w:val="20"/>
                <w:szCs w:val="20"/>
              </w:rPr>
              <w:t>02</w:t>
            </w:r>
            <w:r>
              <w:rPr>
                <w:rFonts w:ascii="Times New Roman" w:hAnsi="Times New Roman" w:cs="Times New Roman"/>
                <w:sz w:val="20"/>
                <w:szCs w:val="20"/>
              </w:rPr>
              <w:t>6</w:t>
            </w:r>
            <w:r w:rsidRPr="006B4CB9">
              <w:rPr>
                <w:rFonts w:ascii="Times New Roman" w:hAnsi="Times New Roman" w:cs="Times New Roman"/>
                <w:sz w:val="20"/>
                <w:szCs w:val="20"/>
              </w:rPr>
              <w:t>0</w:t>
            </w:r>
          </w:p>
          <w:p w14:paraId="1507E197" w14:textId="14B2F3DE" w:rsidR="0071798D" w:rsidRPr="00D6358E" w:rsidRDefault="0071798D" w:rsidP="00476014">
            <w:pPr>
              <w:rPr>
                <w:rFonts w:ascii="Times New Roman" w:hAnsi="Times New Roman" w:cs="Times New Roman"/>
                <w:sz w:val="20"/>
                <w:szCs w:val="20"/>
              </w:rPr>
            </w:pPr>
          </w:p>
        </w:tc>
        <w:tc>
          <w:tcPr>
            <w:tcW w:w="2072" w:type="dxa"/>
            <w:hideMark/>
          </w:tcPr>
          <w:p w14:paraId="6A660D35" w14:textId="77777777" w:rsidR="0071798D" w:rsidRPr="00D6358E" w:rsidRDefault="0071798D" w:rsidP="00476014">
            <w:pPr>
              <w:rPr>
                <w:rFonts w:ascii="Times New Roman" w:hAnsi="Times New Roman" w:cs="Times New Roman"/>
                <w:sz w:val="20"/>
                <w:szCs w:val="20"/>
              </w:rPr>
            </w:pPr>
            <w:r w:rsidRPr="00D6358E">
              <w:rPr>
                <w:rFonts w:ascii="Times New Roman" w:hAnsi="Times New Roman" w:cs="Times New Roman"/>
                <w:sz w:val="20"/>
                <w:szCs w:val="20"/>
              </w:rPr>
              <w:t>Gross Claims Paid – Sum of years (cumulative)</w:t>
            </w:r>
          </w:p>
        </w:tc>
        <w:tc>
          <w:tcPr>
            <w:tcW w:w="6131" w:type="dxa"/>
            <w:hideMark/>
          </w:tcPr>
          <w:p w14:paraId="6815A2A9" w14:textId="2166A901" w:rsidR="0071798D" w:rsidRPr="00D6358E" w:rsidRDefault="0071798D">
            <w:pPr>
              <w:rPr>
                <w:rFonts w:ascii="Times New Roman" w:hAnsi="Times New Roman" w:cs="Times New Roman"/>
                <w:sz w:val="20"/>
                <w:szCs w:val="20"/>
              </w:rPr>
            </w:pPr>
            <w:r w:rsidRPr="00D6358E">
              <w:rPr>
                <w:rFonts w:ascii="Times New Roman" w:hAnsi="Times New Roman" w:cs="Times New Roman"/>
                <w:sz w:val="20"/>
                <w:szCs w:val="20"/>
              </w:rPr>
              <w:t>Total “Sum of years” contains the sum of all data in rows (sum of all payments referred to the accident/underwriting year), including total.</w:t>
            </w:r>
          </w:p>
        </w:tc>
      </w:tr>
      <w:tr w:rsidR="0071798D" w:rsidRPr="00AB2CE4" w14:paraId="49938120" w14:textId="77777777" w:rsidTr="00D6358E">
        <w:trPr>
          <w:trHeight w:val="1830"/>
        </w:trPr>
        <w:tc>
          <w:tcPr>
            <w:tcW w:w="1039" w:type="dxa"/>
            <w:hideMark/>
          </w:tcPr>
          <w:p w14:paraId="4A36CAF0" w14:textId="7481B508" w:rsidR="0071798D" w:rsidRPr="00AB2CE4" w:rsidRDefault="0071798D" w:rsidP="00476014">
            <w:pPr>
              <w:rPr>
                <w:rFonts w:ascii="Times New Roman" w:hAnsi="Times New Roman" w:cs="Times New Roman"/>
                <w:sz w:val="20"/>
                <w:szCs w:val="20"/>
              </w:rPr>
            </w:pPr>
            <w:r w:rsidRPr="006B4CB9">
              <w:rPr>
                <w:rFonts w:ascii="Times New Roman" w:hAnsi="Times New Roman" w:cs="Times New Roman"/>
                <w:sz w:val="20"/>
                <w:szCs w:val="20"/>
              </w:rPr>
              <w:lastRenderedPageBreak/>
              <w:t>C0200 to C03</w:t>
            </w:r>
            <w:r>
              <w:rPr>
                <w:rFonts w:ascii="Times New Roman" w:hAnsi="Times New Roman" w:cs="Times New Roman"/>
                <w:sz w:val="20"/>
                <w:szCs w:val="20"/>
              </w:rPr>
              <w:t>0</w:t>
            </w:r>
            <w:r w:rsidRPr="006B4CB9">
              <w:rPr>
                <w:rFonts w:ascii="Times New Roman" w:hAnsi="Times New Roman" w:cs="Times New Roman"/>
                <w:sz w:val="20"/>
                <w:szCs w:val="20"/>
              </w:rPr>
              <w:t>0</w:t>
            </w:r>
            <w:r w:rsidRPr="00AB2CE4">
              <w:rPr>
                <w:rFonts w:ascii="Times New Roman" w:hAnsi="Times New Roman" w:cs="Times New Roman"/>
                <w:sz w:val="20"/>
                <w:szCs w:val="20"/>
              </w:rPr>
              <w:t>/ R0100 to R0250</w:t>
            </w:r>
          </w:p>
          <w:p w14:paraId="375FBF1C" w14:textId="67CA4438" w:rsidR="0071798D" w:rsidRPr="00D6358E" w:rsidRDefault="0071798D" w:rsidP="00476014">
            <w:pPr>
              <w:rPr>
                <w:rFonts w:ascii="Times New Roman" w:hAnsi="Times New Roman" w:cs="Times New Roman"/>
                <w:sz w:val="20"/>
                <w:szCs w:val="20"/>
              </w:rPr>
            </w:pPr>
          </w:p>
        </w:tc>
        <w:tc>
          <w:tcPr>
            <w:tcW w:w="2072" w:type="dxa"/>
            <w:hideMark/>
          </w:tcPr>
          <w:p w14:paraId="6F3362CC" w14:textId="77777777" w:rsidR="0071798D" w:rsidRPr="00D6358E" w:rsidRDefault="0071798D" w:rsidP="00476014">
            <w:pPr>
              <w:rPr>
                <w:rFonts w:ascii="Times New Roman" w:hAnsi="Times New Roman" w:cs="Times New Roman"/>
                <w:sz w:val="20"/>
                <w:szCs w:val="20"/>
              </w:rPr>
            </w:pPr>
            <w:r w:rsidRPr="00D6358E">
              <w:rPr>
                <w:rFonts w:ascii="Times New Roman" w:hAnsi="Times New Roman" w:cs="Times New Roman"/>
                <w:sz w:val="20"/>
                <w:szCs w:val="20"/>
              </w:rPr>
              <w:t>Gross undiscounted Best Estimate Claims Provisions – Triangle</w:t>
            </w:r>
          </w:p>
        </w:tc>
        <w:tc>
          <w:tcPr>
            <w:tcW w:w="6131" w:type="dxa"/>
            <w:hideMark/>
          </w:tcPr>
          <w:p w14:paraId="21620CD8" w14:textId="79E29EB9" w:rsidR="0071798D" w:rsidRPr="00D6358E" w:rsidRDefault="0071798D" w:rsidP="00D6358E">
            <w:pPr>
              <w:rPr>
                <w:rFonts w:ascii="Times New Roman" w:hAnsi="Times New Roman" w:cs="Times New Roman"/>
                <w:sz w:val="20"/>
                <w:szCs w:val="20"/>
              </w:rPr>
            </w:pPr>
            <w:r w:rsidRPr="00D6358E">
              <w:rPr>
                <w:rFonts w:ascii="Times New Roman" w:hAnsi="Times New Roman" w:cs="Times New Roman"/>
                <w:sz w:val="20"/>
                <w:szCs w:val="20"/>
              </w:rPr>
              <w:t>Triangles of undiscounted best estimate of claims provisions, gross of reinsurance for each of the accident/underwriting years from N-</w:t>
            </w:r>
            <w:r>
              <w:rPr>
                <w:rFonts w:ascii="Times New Roman" w:hAnsi="Times New Roman" w:cs="Times New Roman"/>
                <w:sz w:val="20"/>
                <w:szCs w:val="20"/>
              </w:rPr>
              <w:t>9</w:t>
            </w:r>
            <w:r w:rsidRPr="00D6358E">
              <w:rPr>
                <w:rFonts w:ascii="Times New Roman" w:hAnsi="Times New Roman" w:cs="Times New Roman"/>
                <w:sz w:val="20"/>
                <w:szCs w:val="20"/>
              </w:rPr>
              <w:t xml:space="preserve"> (and prior) and all previous reporting periods to – including - N (last reporting year). The best estimate for claims provision relates to claims events occurred before or at the valuation date, whether the claims arising from these events have been reported or not.</w:t>
            </w:r>
            <w:r w:rsidRPr="00D6358E">
              <w:rPr>
                <w:rFonts w:ascii="Times New Roman" w:hAnsi="Times New Roman" w:cs="Times New Roman"/>
                <w:sz w:val="20"/>
                <w:szCs w:val="20"/>
              </w:rPr>
              <w:br/>
              <w:t>The data are in absolute amount, non-cumulative and undiscounted.</w:t>
            </w:r>
          </w:p>
        </w:tc>
      </w:tr>
      <w:tr w:rsidR="0071798D" w:rsidRPr="00AB2CE4" w14:paraId="0B04CDBC" w14:textId="77777777" w:rsidTr="00D6358E">
        <w:trPr>
          <w:trHeight w:val="1230"/>
        </w:trPr>
        <w:tc>
          <w:tcPr>
            <w:tcW w:w="1039" w:type="dxa"/>
            <w:hideMark/>
          </w:tcPr>
          <w:p w14:paraId="3ACD8D7B" w14:textId="61E8233C" w:rsidR="0071798D" w:rsidRPr="00D6358E" w:rsidRDefault="0071798D" w:rsidP="002E0125">
            <w:pPr>
              <w:rPr>
                <w:rFonts w:ascii="Times New Roman" w:hAnsi="Times New Roman" w:cs="Times New Roman"/>
                <w:sz w:val="20"/>
                <w:szCs w:val="20"/>
              </w:rPr>
            </w:pPr>
            <w:r w:rsidRPr="006B4CB9">
              <w:rPr>
                <w:rFonts w:ascii="Times New Roman" w:hAnsi="Times New Roman" w:cs="Times New Roman"/>
                <w:sz w:val="20"/>
                <w:szCs w:val="20"/>
              </w:rPr>
              <w:t>C0360/ R0100 to R02</w:t>
            </w:r>
            <w:r>
              <w:rPr>
                <w:rFonts w:ascii="Times New Roman" w:hAnsi="Times New Roman" w:cs="Times New Roman"/>
                <w:sz w:val="20"/>
                <w:szCs w:val="20"/>
              </w:rPr>
              <w:t>6</w:t>
            </w:r>
            <w:r w:rsidRPr="006B4CB9">
              <w:rPr>
                <w:rFonts w:ascii="Times New Roman" w:hAnsi="Times New Roman" w:cs="Times New Roman"/>
                <w:sz w:val="20"/>
                <w:szCs w:val="20"/>
              </w:rPr>
              <w:t>0</w:t>
            </w:r>
            <w:r w:rsidRPr="00AB2CE4">
              <w:rPr>
                <w:rFonts w:ascii="Times New Roman" w:hAnsi="Times New Roman" w:cs="Times New Roman"/>
                <w:sz w:val="20"/>
                <w:szCs w:val="20"/>
              </w:rPr>
              <w:t xml:space="preserve"> </w:t>
            </w:r>
          </w:p>
        </w:tc>
        <w:tc>
          <w:tcPr>
            <w:tcW w:w="2072" w:type="dxa"/>
            <w:hideMark/>
          </w:tcPr>
          <w:p w14:paraId="7AB96DE3" w14:textId="77777777" w:rsidR="0071798D" w:rsidRPr="00D6358E" w:rsidRDefault="0071798D" w:rsidP="00476014">
            <w:pPr>
              <w:rPr>
                <w:rFonts w:ascii="Times New Roman" w:hAnsi="Times New Roman" w:cs="Times New Roman"/>
                <w:sz w:val="20"/>
                <w:szCs w:val="20"/>
              </w:rPr>
            </w:pPr>
            <w:r w:rsidRPr="00D6358E">
              <w:rPr>
                <w:rFonts w:ascii="Times New Roman" w:hAnsi="Times New Roman" w:cs="Times New Roman"/>
                <w:sz w:val="20"/>
                <w:szCs w:val="20"/>
              </w:rPr>
              <w:t>Gross Best Estimate Claims Provisions – Year end (discounted data)</w:t>
            </w:r>
          </w:p>
        </w:tc>
        <w:tc>
          <w:tcPr>
            <w:tcW w:w="6131" w:type="dxa"/>
            <w:hideMark/>
          </w:tcPr>
          <w:p w14:paraId="2EABA2F5" w14:textId="57209F0B" w:rsidR="0071798D" w:rsidRDefault="0071798D" w:rsidP="002E1B2B">
            <w:pPr>
              <w:rPr>
                <w:rFonts w:ascii="Times New Roman" w:hAnsi="Times New Roman" w:cs="Times New Roman"/>
                <w:sz w:val="20"/>
                <w:szCs w:val="20"/>
              </w:rPr>
            </w:pPr>
            <w:r w:rsidRPr="00D6358E">
              <w:rPr>
                <w:rFonts w:ascii="Times New Roman" w:hAnsi="Times New Roman" w:cs="Times New Roman"/>
                <w:sz w:val="20"/>
                <w:szCs w:val="20"/>
              </w:rPr>
              <w:t>Total “</w:t>
            </w:r>
            <w:proofErr w:type="spellStart"/>
            <w:r w:rsidRPr="00D6358E">
              <w:rPr>
                <w:rFonts w:ascii="Times New Roman" w:hAnsi="Times New Roman" w:cs="Times New Roman"/>
                <w:sz w:val="20"/>
                <w:szCs w:val="20"/>
              </w:rPr>
              <w:t>Year end</w:t>
            </w:r>
            <w:proofErr w:type="spellEnd"/>
            <w:r w:rsidRPr="00D6358E">
              <w:rPr>
                <w:rFonts w:ascii="Times New Roman" w:hAnsi="Times New Roman" w:cs="Times New Roman"/>
                <w:sz w:val="20"/>
                <w:szCs w:val="20"/>
              </w:rPr>
              <w:t xml:space="preserve">” </w:t>
            </w:r>
            <w:r w:rsidR="002E1B2B" w:rsidRPr="002E1B2B">
              <w:rPr>
                <w:rFonts w:ascii="Times New Roman" w:hAnsi="Times New Roman" w:cs="Times New Roman"/>
                <w:sz w:val="20"/>
                <w:szCs w:val="20"/>
              </w:rPr>
              <w:t>reflects the last diagonal but</w:t>
            </w:r>
            <w:r w:rsidRPr="00D6358E">
              <w:rPr>
                <w:rFonts w:ascii="Times New Roman" w:hAnsi="Times New Roman" w:cs="Times New Roman"/>
                <w:sz w:val="20"/>
                <w:szCs w:val="20"/>
              </w:rPr>
              <w:t xml:space="preserve"> on </w:t>
            </w:r>
            <w:r w:rsidR="002E1B2B">
              <w:rPr>
                <w:rFonts w:ascii="Times New Roman" w:hAnsi="Times New Roman" w:cs="Times New Roman"/>
                <w:sz w:val="20"/>
                <w:szCs w:val="20"/>
              </w:rPr>
              <w:t xml:space="preserve">a </w:t>
            </w:r>
            <w:r w:rsidRPr="00D6358E">
              <w:rPr>
                <w:rFonts w:ascii="Times New Roman" w:hAnsi="Times New Roman" w:cs="Times New Roman"/>
                <w:sz w:val="20"/>
                <w:szCs w:val="20"/>
              </w:rPr>
              <w:t xml:space="preserve">discounted </w:t>
            </w:r>
            <w:proofErr w:type="gramStart"/>
            <w:r w:rsidRPr="00D6358E">
              <w:rPr>
                <w:rFonts w:ascii="Times New Roman" w:hAnsi="Times New Roman" w:cs="Times New Roman"/>
                <w:sz w:val="20"/>
                <w:szCs w:val="20"/>
              </w:rPr>
              <w:t>basis</w:t>
            </w:r>
            <w:r w:rsidR="002E1B2B" w:rsidRPr="0030017D">
              <w:rPr>
                <w:rFonts w:ascii="Times New Roman" w:hAnsi="Times New Roman" w:cs="Times New Roman"/>
                <w:sz w:val="20"/>
                <w:szCs w:val="20"/>
              </w:rPr>
              <w:t>(</w:t>
            </w:r>
            <w:proofErr w:type="gramEnd"/>
            <w:r w:rsidR="002E1B2B" w:rsidRPr="0030017D">
              <w:rPr>
                <w:rFonts w:ascii="Times New Roman" w:hAnsi="Times New Roman" w:cs="Times New Roman"/>
                <w:sz w:val="20"/>
                <w:szCs w:val="20"/>
              </w:rPr>
              <w:t>all data referred to last reporting year) from R01</w:t>
            </w:r>
            <w:r w:rsidR="002E1B2B">
              <w:rPr>
                <w:rFonts w:ascii="Times New Roman" w:hAnsi="Times New Roman" w:cs="Times New Roman"/>
                <w:sz w:val="20"/>
                <w:szCs w:val="20"/>
              </w:rPr>
              <w:t>6</w:t>
            </w:r>
            <w:r w:rsidR="002E1B2B" w:rsidRPr="0030017D">
              <w:rPr>
                <w:rFonts w:ascii="Times New Roman" w:hAnsi="Times New Roman" w:cs="Times New Roman"/>
                <w:sz w:val="20"/>
                <w:szCs w:val="20"/>
              </w:rPr>
              <w:t>0 to R0250</w:t>
            </w:r>
            <w:r w:rsidRPr="00D6358E">
              <w:rPr>
                <w:rFonts w:ascii="Times New Roman" w:hAnsi="Times New Roman" w:cs="Times New Roman"/>
                <w:sz w:val="20"/>
                <w:szCs w:val="20"/>
              </w:rPr>
              <w:t>.</w:t>
            </w:r>
          </w:p>
          <w:p w14:paraId="0F0E2620" w14:textId="77777777" w:rsidR="002E1B2B" w:rsidRDefault="002E1B2B" w:rsidP="002E1B2B">
            <w:pPr>
              <w:rPr>
                <w:rFonts w:ascii="Times New Roman" w:hAnsi="Times New Roman" w:cs="Times New Roman"/>
                <w:sz w:val="20"/>
                <w:szCs w:val="20"/>
              </w:rPr>
            </w:pPr>
          </w:p>
          <w:p w14:paraId="36B9A53C" w14:textId="02FAA728" w:rsidR="002E1B2B" w:rsidRPr="00D6358E" w:rsidRDefault="002E1B2B" w:rsidP="002516B8">
            <w:pPr>
              <w:rPr>
                <w:rFonts w:ascii="Times New Roman" w:hAnsi="Times New Roman" w:cs="Times New Roman"/>
                <w:sz w:val="20"/>
                <w:szCs w:val="20"/>
              </w:rPr>
            </w:pPr>
            <w:r w:rsidRPr="0030017D">
              <w:rPr>
                <w:rFonts w:ascii="Times New Roman" w:hAnsi="Times New Roman" w:cs="Times New Roman"/>
                <w:sz w:val="20"/>
                <w:szCs w:val="20"/>
              </w:rPr>
              <w:t>R0260 is the total of R01</w:t>
            </w:r>
            <w:r w:rsidR="002516B8">
              <w:rPr>
                <w:rFonts w:ascii="Times New Roman" w:hAnsi="Times New Roman" w:cs="Times New Roman"/>
                <w:sz w:val="20"/>
                <w:szCs w:val="20"/>
              </w:rPr>
              <w:t>6</w:t>
            </w:r>
            <w:r w:rsidRPr="0030017D">
              <w:rPr>
                <w:rFonts w:ascii="Times New Roman" w:hAnsi="Times New Roman" w:cs="Times New Roman"/>
                <w:sz w:val="20"/>
                <w:szCs w:val="20"/>
              </w:rPr>
              <w:t>0 to R0250</w:t>
            </w:r>
          </w:p>
        </w:tc>
      </w:tr>
    </w:tbl>
    <w:p w14:paraId="7A5F1507" w14:textId="77777777" w:rsidR="006E4A52" w:rsidRPr="00D6358E" w:rsidRDefault="006E4A52">
      <w:pPr>
        <w:rPr>
          <w:rFonts w:ascii="Times New Roman" w:hAnsi="Times New Roman" w:cs="Times New Roman"/>
          <w:sz w:val="20"/>
          <w:szCs w:val="20"/>
        </w:rPr>
      </w:pPr>
    </w:p>
    <w:sectPr w:rsidR="006E4A52" w:rsidRPr="00D6358E">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C376D5" w15:done="0"/>
  <w15:commentEx w15:paraId="38B2BA26" w15:done="0"/>
  <w15:commentEx w15:paraId="3B9C0584" w15:done="0"/>
  <w15:commentEx w15:paraId="6B8C7E4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21117"/>
    <w:multiLevelType w:val="hybridMultilevel"/>
    <w:tmpl w:val="C774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A6E57DF"/>
    <w:multiLevelType w:val="hybridMultilevel"/>
    <w:tmpl w:val="77DA88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8F327D2"/>
    <w:multiLevelType w:val="hybridMultilevel"/>
    <w:tmpl w:val="378EB60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F627CDD"/>
    <w:multiLevelType w:val="hybridMultilevel"/>
    <w:tmpl w:val="0C2C6CFC"/>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3F0B44C4"/>
    <w:multiLevelType w:val="hybridMultilevel"/>
    <w:tmpl w:val="20BC58E2"/>
    <w:lvl w:ilvl="0" w:tplc="DF3CC5FC">
      <w:start w:val="1"/>
      <w:numFmt w:val="decimal"/>
      <w:lvlText w:val="(%1)"/>
      <w:lvlJc w:val="left"/>
      <w:pPr>
        <w:tabs>
          <w:tab w:val="num" w:pos="360"/>
        </w:tabs>
        <w:ind w:left="360" w:hanging="360"/>
      </w:pPr>
      <w:rPr>
        <w:rFonts w:ascii="Verdana" w:hAnsi="Verdana" w:hint="default"/>
        <w:sz w:val="22"/>
        <w:szCs w:val="22"/>
      </w:rPr>
    </w:lvl>
    <w:lvl w:ilvl="1" w:tplc="08090019">
      <w:start w:val="1"/>
      <w:numFmt w:val="lowerLetter"/>
      <w:lvlText w:val="%2."/>
      <w:lvlJc w:val="left"/>
      <w:pPr>
        <w:tabs>
          <w:tab w:val="num" w:pos="2160"/>
        </w:tabs>
        <w:ind w:left="2160" w:hanging="360"/>
      </w:pPr>
    </w:lvl>
    <w:lvl w:ilvl="2" w:tplc="A87622B4">
      <w:start w:val="1"/>
      <w:numFmt w:val="lowerRoman"/>
      <w:lvlText w:val="(%3)"/>
      <w:lvlJc w:val="left"/>
      <w:pPr>
        <w:tabs>
          <w:tab w:val="num" w:pos="2880"/>
        </w:tabs>
        <w:ind w:left="2880" w:hanging="180"/>
      </w:pPr>
      <w:rPr>
        <w:rFonts w:hint="default"/>
      </w:rPr>
    </w:lvl>
    <w:lvl w:ilvl="3" w:tplc="08160017">
      <w:start w:val="1"/>
      <w:numFmt w:val="lowerLetter"/>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nsid w:val="5B0A67D9"/>
    <w:multiLevelType w:val="hybridMultilevel"/>
    <w:tmpl w:val="9B4E782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61914D21"/>
    <w:multiLevelType w:val="hybridMultilevel"/>
    <w:tmpl w:val="57AAA89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7512119F"/>
    <w:multiLevelType w:val="hybridMultilevel"/>
    <w:tmpl w:val="46F45664"/>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1"/>
  </w:num>
  <w:num w:numId="5">
    <w:abstractNumId w:val="7"/>
  </w:num>
  <w:num w:numId="6">
    <w:abstractNumId w:val="3"/>
  </w:num>
  <w:num w:numId="7">
    <w:abstractNumId w:val="5"/>
  </w:num>
  <w:num w:numId="8">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E35F1"/>
    <w:rsid w:val="000071A8"/>
    <w:rsid w:val="000E211E"/>
    <w:rsid w:val="000F7D7C"/>
    <w:rsid w:val="001652C9"/>
    <w:rsid w:val="0024372E"/>
    <w:rsid w:val="002516B8"/>
    <w:rsid w:val="002E0125"/>
    <w:rsid w:val="002E1B2B"/>
    <w:rsid w:val="003111A6"/>
    <w:rsid w:val="00353BD4"/>
    <w:rsid w:val="003751E7"/>
    <w:rsid w:val="003E35F1"/>
    <w:rsid w:val="0041312F"/>
    <w:rsid w:val="00463D7C"/>
    <w:rsid w:val="00476014"/>
    <w:rsid w:val="004A187A"/>
    <w:rsid w:val="004D3F8E"/>
    <w:rsid w:val="004D61B0"/>
    <w:rsid w:val="00523AD3"/>
    <w:rsid w:val="005446B2"/>
    <w:rsid w:val="0062364F"/>
    <w:rsid w:val="0064465B"/>
    <w:rsid w:val="00672F22"/>
    <w:rsid w:val="006B4CB9"/>
    <w:rsid w:val="006E4A52"/>
    <w:rsid w:val="006F70BB"/>
    <w:rsid w:val="0071798D"/>
    <w:rsid w:val="00743C68"/>
    <w:rsid w:val="00782821"/>
    <w:rsid w:val="00811D00"/>
    <w:rsid w:val="008E1787"/>
    <w:rsid w:val="00903207"/>
    <w:rsid w:val="00922B9F"/>
    <w:rsid w:val="00941326"/>
    <w:rsid w:val="009D60A4"/>
    <w:rsid w:val="009E2046"/>
    <w:rsid w:val="00A36D30"/>
    <w:rsid w:val="00A5761A"/>
    <w:rsid w:val="00A7259F"/>
    <w:rsid w:val="00A80F8E"/>
    <w:rsid w:val="00A842C9"/>
    <w:rsid w:val="00AB2CE4"/>
    <w:rsid w:val="00B329F7"/>
    <w:rsid w:val="00C67334"/>
    <w:rsid w:val="00CC00BE"/>
    <w:rsid w:val="00CD7A58"/>
    <w:rsid w:val="00D6358E"/>
    <w:rsid w:val="00D973A3"/>
    <w:rsid w:val="00E34125"/>
    <w:rsid w:val="00E65F89"/>
    <w:rsid w:val="00E7749D"/>
    <w:rsid w:val="00EF5904"/>
    <w:rsid w:val="00F14ECA"/>
    <w:rsid w:val="00F2044D"/>
    <w:rsid w:val="00F234D7"/>
    <w:rsid w:val="00F43890"/>
    <w:rsid w:val="00FF7C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96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4D61B0"/>
    <w:pPr>
      <w:keepNext/>
      <w:spacing w:after="0" w:line="240" w:lineRule="auto"/>
      <w:ind w:left="180"/>
      <w:jc w:val="both"/>
      <w:outlineLvl w:val="2"/>
    </w:pPr>
    <w:rPr>
      <w:rFonts w:ascii="Cambria" w:eastAsia="Times New Roman" w:hAnsi="Cambria" w:cs="Times New Roman"/>
      <w:b/>
      <w:bCs/>
      <w:sz w:val="26"/>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35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D60A4"/>
    <w:rPr>
      <w:sz w:val="16"/>
      <w:szCs w:val="16"/>
    </w:rPr>
  </w:style>
  <w:style w:type="paragraph" w:styleId="CommentText">
    <w:name w:val="annotation text"/>
    <w:basedOn w:val="Normal"/>
    <w:link w:val="CommentTextChar"/>
    <w:uiPriority w:val="99"/>
    <w:unhideWhenUsed/>
    <w:rsid w:val="009D60A4"/>
    <w:pPr>
      <w:spacing w:line="240" w:lineRule="auto"/>
    </w:pPr>
    <w:rPr>
      <w:sz w:val="20"/>
      <w:szCs w:val="20"/>
    </w:rPr>
  </w:style>
  <w:style w:type="character" w:customStyle="1" w:styleId="CommentTextChar">
    <w:name w:val="Comment Text Char"/>
    <w:basedOn w:val="DefaultParagraphFont"/>
    <w:link w:val="CommentText"/>
    <w:uiPriority w:val="99"/>
    <w:rsid w:val="009D60A4"/>
    <w:rPr>
      <w:sz w:val="20"/>
      <w:szCs w:val="20"/>
    </w:rPr>
  </w:style>
  <w:style w:type="paragraph" w:styleId="CommentSubject">
    <w:name w:val="annotation subject"/>
    <w:basedOn w:val="CommentText"/>
    <w:next w:val="CommentText"/>
    <w:link w:val="CommentSubjectChar"/>
    <w:uiPriority w:val="99"/>
    <w:semiHidden/>
    <w:unhideWhenUsed/>
    <w:rsid w:val="009D60A4"/>
    <w:rPr>
      <w:b/>
      <w:bCs/>
    </w:rPr>
  </w:style>
  <w:style w:type="character" w:customStyle="1" w:styleId="CommentSubjectChar">
    <w:name w:val="Comment Subject Char"/>
    <w:basedOn w:val="CommentTextChar"/>
    <w:link w:val="CommentSubject"/>
    <w:uiPriority w:val="99"/>
    <w:semiHidden/>
    <w:rsid w:val="009D60A4"/>
    <w:rPr>
      <w:b/>
      <w:bCs/>
      <w:sz w:val="20"/>
      <w:szCs w:val="20"/>
    </w:rPr>
  </w:style>
  <w:style w:type="paragraph" w:styleId="BalloonText">
    <w:name w:val="Balloon Text"/>
    <w:basedOn w:val="Normal"/>
    <w:link w:val="BalloonTextChar"/>
    <w:uiPriority w:val="99"/>
    <w:semiHidden/>
    <w:unhideWhenUsed/>
    <w:rsid w:val="009D60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0A4"/>
    <w:rPr>
      <w:rFonts w:ascii="Tahoma" w:hAnsi="Tahoma" w:cs="Tahoma"/>
      <w:sz w:val="16"/>
      <w:szCs w:val="16"/>
    </w:rPr>
  </w:style>
  <w:style w:type="paragraph" w:customStyle="1" w:styleId="xl16814">
    <w:name w:val="xl16814"/>
    <w:basedOn w:val="Normal"/>
    <w:rsid w:val="009D60A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styleId="Revision">
    <w:name w:val="Revision"/>
    <w:hidden/>
    <w:uiPriority w:val="99"/>
    <w:semiHidden/>
    <w:rsid w:val="00E65F89"/>
    <w:pPr>
      <w:spacing w:after="0" w:line="240" w:lineRule="auto"/>
    </w:pPr>
  </w:style>
  <w:style w:type="paragraph" w:styleId="ListParagraph">
    <w:name w:val="List Paragraph"/>
    <w:basedOn w:val="Normal"/>
    <w:uiPriority w:val="34"/>
    <w:qFormat/>
    <w:rsid w:val="0062364F"/>
    <w:pPr>
      <w:ind w:left="720"/>
      <w:contextualSpacing/>
    </w:pPr>
  </w:style>
  <w:style w:type="character" w:customStyle="1" w:styleId="Heading3Char">
    <w:name w:val="Heading 3 Char"/>
    <w:basedOn w:val="DefaultParagraphFont"/>
    <w:link w:val="Heading3"/>
    <w:rsid w:val="004D61B0"/>
    <w:rPr>
      <w:rFonts w:ascii="Cambria" w:eastAsia="Times New Roman" w:hAnsi="Cambria" w:cs="Times New Roman"/>
      <w:b/>
      <w:bCs/>
      <w:sz w:val="26"/>
      <w:szCs w:val="2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4D61B0"/>
    <w:pPr>
      <w:keepNext/>
      <w:spacing w:after="0" w:line="240" w:lineRule="auto"/>
      <w:ind w:left="180"/>
      <w:jc w:val="both"/>
      <w:outlineLvl w:val="2"/>
    </w:pPr>
    <w:rPr>
      <w:rFonts w:ascii="Cambria" w:eastAsia="Times New Roman" w:hAnsi="Cambria" w:cs="Times New Roman"/>
      <w:b/>
      <w:bCs/>
      <w:sz w:val="26"/>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35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D60A4"/>
    <w:rPr>
      <w:sz w:val="16"/>
      <w:szCs w:val="16"/>
    </w:rPr>
  </w:style>
  <w:style w:type="paragraph" w:styleId="CommentText">
    <w:name w:val="annotation text"/>
    <w:basedOn w:val="Normal"/>
    <w:link w:val="CommentTextChar"/>
    <w:uiPriority w:val="99"/>
    <w:unhideWhenUsed/>
    <w:rsid w:val="009D60A4"/>
    <w:pPr>
      <w:spacing w:line="240" w:lineRule="auto"/>
    </w:pPr>
    <w:rPr>
      <w:sz w:val="20"/>
      <w:szCs w:val="20"/>
    </w:rPr>
  </w:style>
  <w:style w:type="character" w:customStyle="1" w:styleId="CommentTextChar">
    <w:name w:val="Comment Text Char"/>
    <w:basedOn w:val="DefaultParagraphFont"/>
    <w:link w:val="CommentText"/>
    <w:uiPriority w:val="99"/>
    <w:rsid w:val="009D60A4"/>
    <w:rPr>
      <w:sz w:val="20"/>
      <w:szCs w:val="20"/>
    </w:rPr>
  </w:style>
  <w:style w:type="paragraph" w:styleId="CommentSubject">
    <w:name w:val="annotation subject"/>
    <w:basedOn w:val="CommentText"/>
    <w:next w:val="CommentText"/>
    <w:link w:val="CommentSubjectChar"/>
    <w:uiPriority w:val="99"/>
    <w:semiHidden/>
    <w:unhideWhenUsed/>
    <w:rsid w:val="009D60A4"/>
    <w:rPr>
      <w:b/>
      <w:bCs/>
    </w:rPr>
  </w:style>
  <w:style w:type="character" w:customStyle="1" w:styleId="CommentSubjectChar">
    <w:name w:val="Comment Subject Char"/>
    <w:basedOn w:val="CommentTextChar"/>
    <w:link w:val="CommentSubject"/>
    <w:uiPriority w:val="99"/>
    <w:semiHidden/>
    <w:rsid w:val="009D60A4"/>
    <w:rPr>
      <w:b/>
      <w:bCs/>
      <w:sz w:val="20"/>
      <w:szCs w:val="20"/>
    </w:rPr>
  </w:style>
  <w:style w:type="paragraph" w:styleId="BalloonText">
    <w:name w:val="Balloon Text"/>
    <w:basedOn w:val="Normal"/>
    <w:link w:val="BalloonTextChar"/>
    <w:uiPriority w:val="99"/>
    <w:semiHidden/>
    <w:unhideWhenUsed/>
    <w:rsid w:val="009D60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0A4"/>
    <w:rPr>
      <w:rFonts w:ascii="Tahoma" w:hAnsi="Tahoma" w:cs="Tahoma"/>
      <w:sz w:val="16"/>
      <w:szCs w:val="16"/>
    </w:rPr>
  </w:style>
  <w:style w:type="paragraph" w:customStyle="1" w:styleId="xl16814">
    <w:name w:val="xl16814"/>
    <w:basedOn w:val="Normal"/>
    <w:rsid w:val="009D60A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styleId="Revision">
    <w:name w:val="Revision"/>
    <w:hidden/>
    <w:uiPriority w:val="99"/>
    <w:semiHidden/>
    <w:rsid w:val="00E65F89"/>
    <w:pPr>
      <w:spacing w:after="0" w:line="240" w:lineRule="auto"/>
    </w:pPr>
  </w:style>
  <w:style w:type="paragraph" w:styleId="ListParagraph">
    <w:name w:val="List Paragraph"/>
    <w:basedOn w:val="Normal"/>
    <w:uiPriority w:val="34"/>
    <w:qFormat/>
    <w:rsid w:val="0062364F"/>
    <w:pPr>
      <w:ind w:left="720"/>
      <w:contextualSpacing/>
    </w:pPr>
  </w:style>
  <w:style w:type="character" w:customStyle="1" w:styleId="Heading3Char">
    <w:name w:val="Heading 3 Char"/>
    <w:basedOn w:val="DefaultParagraphFont"/>
    <w:link w:val="Heading3"/>
    <w:rsid w:val="004D61B0"/>
    <w:rPr>
      <w:rFonts w:ascii="Cambria" w:eastAsia="Times New Roman" w:hAnsi="Cambria" w:cs="Times New Roman"/>
      <w:b/>
      <w:bCs/>
      <w:sz w:val="26"/>
      <w:szCs w:val="2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102007">
      <w:bodyDiv w:val="1"/>
      <w:marLeft w:val="0"/>
      <w:marRight w:val="0"/>
      <w:marTop w:val="0"/>
      <w:marBottom w:val="0"/>
      <w:divBdr>
        <w:top w:val="none" w:sz="0" w:space="0" w:color="auto"/>
        <w:left w:val="none" w:sz="0" w:space="0" w:color="auto"/>
        <w:bottom w:val="none" w:sz="0" w:space="0" w:color="auto"/>
        <w:right w:val="none" w:sz="0" w:space="0" w:color="auto"/>
      </w:divBdr>
    </w:div>
    <w:div w:id="1014652609">
      <w:bodyDiv w:val="1"/>
      <w:marLeft w:val="0"/>
      <w:marRight w:val="0"/>
      <w:marTop w:val="0"/>
      <w:marBottom w:val="0"/>
      <w:divBdr>
        <w:top w:val="none" w:sz="0" w:space="0" w:color="auto"/>
        <w:left w:val="none" w:sz="0" w:space="0" w:color="auto"/>
        <w:bottom w:val="none" w:sz="0" w:space="0" w:color="auto"/>
        <w:right w:val="none" w:sz="0" w:space="0" w:color="auto"/>
      </w:divBdr>
    </w:div>
    <w:div w:id="136173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8E002-F7F1-4C63-A111-0032FF51EA34}">
  <ds:schemaRefs/>
</ds:datastoreItem>
</file>

<file path=customXml/itemProps2.xml><?xml version="1.0" encoding="utf-8"?>
<ds:datastoreItem xmlns:ds="http://schemas.openxmlformats.org/officeDocument/2006/customXml" ds:itemID="{61FF06C5-C0C5-41A4-96A6-8B38A673D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598</Words>
  <Characters>3415</Characters>
  <Application>Microsoft Office Word</Application>
  <DocSecurity>0</DocSecurity>
  <Lines>28</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Bank of England</Company>
  <LinksUpToDate>false</LinksUpToDate>
  <CharactersWithSpaces>4005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4</cp:revision>
  <dcterms:created xsi:type="dcterms:W3CDTF">2015-06-29T10:30:00Z</dcterms:created>
  <dcterms:modified xsi:type="dcterms:W3CDTF">2015-06-30T09:45:00Z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